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B0" w:rsidRDefault="000C6151" w:rsidP="00C44BB0">
      <w:pPr>
        <w:pStyle w:val="Default"/>
      </w:pPr>
      <w:r>
        <w:t>Columbus Regional Healthcare System</w:t>
      </w:r>
      <w:r w:rsidR="00C44BB0">
        <w:t xml:space="preserve"> Hardship Settlement Policy</w:t>
      </w:r>
    </w:p>
    <w:p w:rsidR="00C44BB0" w:rsidRDefault="00C44BB0" w:rsidP="00C44BB0">
      <w:pPr>
        <w:pStyle w:val="Default"/>
      </w:pPr>
    </w:p>
    <w:p w:rsidR="00C44BB0" w:rsidRDefault="00C44BB0" w:rsidP="00C44BB0">
      <w:pPr>
        <w:pStyle w:val="Default"/>
        <w:rPr>
          <w:sz w:val="20"/>
          <w:szCs w:val="20"/>
        </w:rPr>
      </w:pPr>
      <w:r>
        <w:rPr>
          <w:b/>
          <w:bCs/>
          <w:sz w:val="20"/>
          <w:szCs w:val="20"/>
        </w:rPr>
        <w:t xml:space="preserve">Objective </w:t>
      </w:r>
    </w:p>
    <w:p w:rsidR="00C44BB0" w:rsidRDefault="00C44BB0" w:rsidP="00C44BB0">
      <w:pPr>
        <w:pStyle w:val="Default"/>
        <w:rPr>
          <w:sz w:val="20"/>
          <w:szCs w:val="20"/>
        </w:rPr>
      </w:pPr>
      <w:r>
        <w:rPr>
          <w:sz w:val="20"/>
          <w:szCs w:val="20"/>
        </w:rPr>
        <w:t>The Hospital Hardship Settlement Policy provides an opportunity for patients to request discounts on balances due to the hospital in excess of $</w:t>
      </w:r>
      <w:r w:rsidR="00C31C8E">
        <w:rPr>
          <w:sz w:val="20"/>
          <w:szCs w:val="20"/>
        </w:rPr>
        <w:t>5</w:t>
      </w:r>
      <w:r w:rsidR="00596208">
        <w:rPr>
          <w:sz w:val="20"/>
          <w:szCs w:val="20"/>
        </w:rPr>
        <w:t>00</w:t>
      </w:r>
      <w:r w:rsidR="006A7081">
        <w:rPr>
          <w:sz w:val="20"/>
          <w:szCs w:val="20"/>
        </w:rPr>
        <w:t xml:space="preserve">. </w:t>
      </w:r>
      <w:r>
        <w:rPr>
          <w:sz w:val="20"/>
          <w:szCs w:val="20"/>
        </w:rPr>
        <w:t xml:space="preserve">The purpose of this policy is to recognize that even after the administration of the hospital’s automatic discount for all uninsured </w:t>
      </w:r>
      <w:proofErr w:type="gramStart"/>
      <w:r>
        <w:rPr>
          <w:sz w:val="20"/>
          <w:szCs w:val="20"/>
        </w:rPr>
        <w:t>patients,</w:t>
      </w:r>
      <w:proofErr w:type="gramEnd"/>
      <w:r>
        <w:rPr>
          <w:sz w:val="20"/>
          <w:szCs w:val="20"/>
        </w:rPr>
        <w:t xml:space="preserve"> there could still be situations where the patient is experiencing a financial hardship to pay the balance due in full. This policy also applies to insured patients who may also experience a financial hardship when paying their balance after all third party payments. </w:t>
      </w:r>
    </w:p>
    <w:p w:rsidR="00C44BB0" w:rsidRDefault="00C44BB0" w:rsidP="00C44BB0">
      <w:pPr>
        <w:pStyle w:val="Default"/>
        <w:rPr>
          <w:sz w:val="20"/>
          <w:szCs w:val="20"/>
        </w:rPr>
      </w:pPr>
    </w:p>
    <w:p w:rsidR="00C44BB0" w:rsidRDefault="000C6151" w:rsidP="00C44BB0">
      <w:pPr>
        <w:pStyle w:val="Default"/>
        <w:rPr>
          <w:sz w:val="20"/>
          <w:szCs w:val="20"/>
        </w:rPr>
      </w:pPr>
      <w:r>
        <w:rPr>
          <w:sz w:val="20"/>
          <w:szCs w:val="20"/>
        </w:rPr>
        <w:t xml:space="preserve">Columbus Regional Healthcare System </w:t>
      </w:r>
      <w:r w:rsidR="00C44BB0">
        <w:rPr>
          <w:sz w:val="20"/>
          <w:szCs w:val="20"/>
        </w:rPr>
        <w:t xml:space="preserve">has the following objectives for the hardship settlement process: </w:t>
      </w:r>
    </w:p>
    <w:p w:rsidR="00C44BB0" w:rsidRDefault="00C44BB0" w:rsidP="00C44BB0">
      <w:pPr>
        <w:pStyle w:val="Default"/>
        <w:numPr>
          <w:ilvl w:val="0"/>
          <w:numId w:val="1"/>
        </w:numPr>
        <w:spacing w:after="24"/>
        <w:rPr>
          <w:sz w:val="20"/>
          <w:szCs w:val="20"/>
        </w:rPr>
      </w:pPr>
      <w:r>
        <w:rPr>
          <w:b/>
          <w:bCs/>
          <w:sz w:val="20"/>
          <w:szCs w:val="20"/>
        </w:rPr>
        <w:t>To model at all times C</w:t>
      </w:r>
      <w:r w:rsidR="000C6151">
        <w:rPr>
          <w:b/>
          <w:bCs/>
          <w:sz w:val="20"/>
          <w:szCs w:val="20"/>
        </w:rPr>
        <w:t>RH</w:t>
      </w:r>
      <w:r>
        <w:rPr>
          <w:b/>
          <w:bCs/>
          <w:sz w:val="20"/>
          <w:szCs w:val="20"/>
        </w:rPr>
        <w:t xml:space="preserve">S’s core value of “Caring” </w:t>
      </w:r>
    </w:p>
    <w:p w:rsidR="00C44BB0" w:rsidRPr="00C44BB0" w:rsidRDefault="00C44BB0" w:rsidP="00C44BB0">
      <w:pPr>
        <w:pStyle w:val="Default"/>
        <w:numPr>
          <w:ilvl w:val="0"/>
          <w:numId w:val="1"/>
        </w:numPr>
        <w:spacing w:after="24"/>
        <w:rPr>
          <w:sz w:val="20"/>
          <w:szCs w:val="20"/>
        </w:rPr>
      </w:pPr>
      <w:r w:rsidRPr="00C44BB0">
        <w:rPr>
          <w:b/>
          <w:bCs/>
          <w:sz w:val="20"/>
          <w:szCs w:val="20"/>
        </w:rPr>
        <w:t xml:space="preserve">To provide settlements based </w:t>
      </w:r>
      <w:r>
        <w:rPr>
          <w:b/>
          <w:bCs/>
          <w:sz w:val="20"/>
          <w:szCs w:val="20"/>
        </w:rPr>
        <w:t>on the patient’s ability to pay</w:t>
      </w:r>
    </w:p>
    <w:p w:rsidR="00C44BB0" w:rsidRPr="00C44BB0" w:rsidRDefault="00C44BB0" w:rsidP="00C44BB0">
      <w:pPr>
        <w:pStyle w:val="Default"/>
        <w:numPr>
          <w:ilvl w:val="0"/>
          <w:numId w:val="1"/>
        </w:numPr>
        <w:spacing w:after="24"/>
        <w:rPr>
          <w:sz w:val="20"/>
          <w:szCs w:val="20"/>
        </w:rPr>
      </w:pPr>
      <w:r w:rsidRPr="00C44BB0">
        <w:rPr>
          <w:b/>
          <w:bCs/>
          <w:sz w:val="20"/>
          <w:szCs w:val="20"/>
        </w:rPr>
        <w:t xml:space="preserve">To establish a process that minimizes the burden on the patient and is cost efficient to administer </w:t>
      </w:r>
    </w:p>
    <w:p w:rsidR="00C44BB0" w:rsidRDefault="00C44BB0" w:rsidP="00C44BB0">
      <w:pPr>
        <w:pStyle w:val="Default"/>
        <w:rPr>
          <w:sz w:val="20"/>
          <w:szCs w:val="20"/>
        </w:rPr>
      </w:pPr>
    </w:p>
    <w:p w:rsidR="00C44BB0" w:rsidRDefault="00C44BB0" w:rsidP="00C44BB0">
      <w:pPr>
        <w:pStyle w:val="Default"/>
        <w:rPr>
          <w:sz w:val="20"/>
          <w:szCs w:val="20"/>
        </w:rPr>
      </w:pPr>
      <w:r>
        <w:rPr>
          <w:b/>
          <w:bCs/>
          <w:sz w:val="20"/>
          <w:szCs w:val="20"/>
        </w:rPr>
        <w:t xml:space="preserve">Definitions </w:t>
      </w:r>
    </w:p>
    <w:p w:rsidR="00C44BB0" w:rsidRDefault="00C44BB0" w:rsidP="00C44BB0">
      <w:pPr>
        <w:pStyle w:val="Default"/>
        <w:rPr>
          <w:sz w:val="20"/>
          <w:szCs w:val="20"/>
        </w:rPr>
      </w:pPr>
      <w:r>
        <w:rPr>
          <w:sz w:val="20"/>
          <w:szCs w:val="20"/>
        </w:rPr>
        <w:t xml:space="preserve">The terms used within this policy are to be interpreted as follows: </w:t>
      </w:r>
    </w:p>
    <w:p w:rsidR="00FF5579" w:rsidRDefault="00C44BB0" w:rsidP="00C44BB0">
      <w:pPr>
        <w:pStyle w:val="Default"/>
        <w:numPr>
          <w:ilvl w:val="0"/>
          <w:numId w:val="1"/>
        </w:numPr>
        <w:spacing w:after="11"/>
        <w:rPr>
          <w:sz w:val="20"/>
          <w:szCs w:val="20"/>
        </w:rPr>
      </w:pPr>
      <w:r w:rsidRPr="00FF5579">
        <w:rPr>
          <w:sz w:val="20"/>
          <w:szCs w:val="20"/>
        </w:rPr>
        <w:t>Assets: Includes real property equity and checking, savings, a</w:t>
      </w:r>
      <w:r w:rsidR="00FF5579" w:rsidRPr="00FF5579">
        <w:rPr>
          <w:sz w:val="20"/>
          <w:szCs w:val="20"/>
        </w:rPr>
        <w:t>nd investment account balances.</w:t>
      </w:r>
    </w:p>
    <w:p w:rsidR="00FF5579" w:rsidRDefault="00C44BB0" w:rsidP="00C44BB0">
      <w:pPr>
        <w:pStyle w:val="Default"/>
        <w:numPr>
          <w:ilvl w:val="0"/>
          <w:numId w:val="1"/>
        </w:numPr>
        <w:spacing w:after="11"/>
        <w:rPr>
          <w:sz w:val="20"/>
          <w:szCs w:val="20"/>
        </w:rPr>
      </w:pPr>
      <w:r w:rsidRPr="00FF5579">
        <w:rPr>
          <w:sz w:val="20"/>
          <w:szCs w:val="20"/>
        </w:rPr>
        <w:t>Bad Debt: Accounts that have been categorized as uncollectible because the patient has been unable to resolve the outstanding medical debt.</w:t>
      </w:r>
    </w:p>
    <w:p w:rsidR="00FF5579" w:rsidRDefault="00C44BB0" w:rsidP="00C44BB0">
      <w:pPr>
        <w:pStyle w:val="Default"/>
        <w:numPr>
          <w:ilvl w:val="0"/>
          <w:numId w:val="1"/>
        </w:numPr>
        <w:spacing w:after="11"/>
        <w:rPr>
          <w:sz w:val="20"/>
          <w:szCs w:val="20"/>
        </w:rPr>
      </w:pPr>
      <w:r w:rsidRPr="00FF5579">
        <w:rPr>
          <w:sz w:val="20"/>
          <w:szCs w:val="20"/>
        </w:rPr>
        <w:t>Elective: Those services that are, in the opinion of a physician, not nee</w:t>
      </w:r>
      <w:r w:rsidR="00FF5579">
        <w:rPr>
          <w:sz w:val="20"/>
          <w:szCs w:val="20"/>
        </w:rPr>
        <w:t>ded or can be safely postponed.</w:t>
      </w:r>
    </w:p>
    <w:p w:rsidR="00FF5579" w:rsidRDefault="00C44BB0" w:rsidP="00C44BB0">
      <w:pPr>
        <w:pStyle w:val="Default"/>
        <w:numPr>
          <w:ilvl w:val="0"/>
          <w:numId w:val="1"/>
        </w:numPr>
        <w:spacing w:after="11"/>
        <w:rPr>
          <w:sz w:val="20"/>
          <w:szCs w:val="20"/>
        </w:rPr>
      </w:pPr>
      <w:r w:rsidRPr="00FF5579">
        <w:rPr>
          <w:sz w:val="20"/>
          <w:szCs w:val="20"/>
        </w:rPr>
        <w:t>Emergency Care: Immediate care which is necessary in the opinion of a physician to prevent putting the patient’s health in serious jeopardy, serious impairment to bodily functions or serious dysfuncti</w:t>
      </w:r>
      <w:r w:rsidR="00FF5579">
        <w:rPr>
          <w:sz w:val="20"/>
          <w:szCs w:val="20"/>
        </w:rPr>
        <w:t>on of any organs or body parts.</w:t>
      </w:r>
    </w:p>
    <w:p w:rsidR="00FF5579" w:rsidRDefault="00C44BB0" w:rsidP="00C44BB0">
      <w:pPr>
        <w:pStyle w:val="Default"/>
        <w:numPr>
          <w:ilvl w:val="0"/>
          <w:numId w:val="1"/>
        </w:numPr>
        <w:spacing w:after="11"/>
        <w:rPr>
          <w:sz w:val="20"/>
          <w:szCs w:val="20"/>
        </w:rPr>
      </w:pPr>
      <w:r w:rsidRPr="00FF5579">
        <w:rPr>
          <w:sz w:val="20"/>
          <w:szCs w:val="20"/>
        </w:rPr>
        <w:t>Financial assistance: Financial assistance is designed to assist qualifying patients who are unable to pay for all or part</w:t>
      </w:r>
      <w:r w:rsidR="00FF5579">
        <w:rPr>
          <w:sz w:val="20"/>
          <w:szCs w:val="20"/>
        </w:rPr>
        <w:t xml:space="preserve"> of their health care expenses.</w:t>
      </w:r>
    </w:p>
    <w:p w:rsidR="00FF5579" w:rsidRDefault="00C44BB0" w:rsidP="00C44BB0">
      <w:pPr>
        <w:pStyle w:val="Default"/>
        <w:numPr>
          <w:ilvl w:val="0"/>
          <w:numId w:val="1"/>
        </w:numPr>
        <w:spacing w:after="11"/>
        <w:rPr>
          <w:sz w:val="20"/>
          <w:szCs w:val="20"/>
        </w:rPr>
      </w:pPr>
      <w:r w:rsidRPr="00FF5579">
        <w:rPr>
          <w:sz w:val="20"/>
          <w:szCs w:val="20"/>
        </w:rPr>
        <w:t>Household Financial Resources: Household Financial Resources as measured against annual Federal Poverty Guidelines are determined from a sum of annual household income plus any bank balances for checking and savings accounts. Sources of household financial resources include, but are</w:t>
      </w:r>
      <w:r w:rsidR="00FF5579">
        <w:rPr>
          <w:sz w:val="20"/>
          <w:szCs w:val="20"/>
        </w:rPr>
        <w:t xml:space="preserve"> not limited to, the following:</w:t>
      </w:r>
    </w:p>
    <w:p w:rsidR="00FF5579" w:rsidRDefault="00C44BB0" w:rsidP="00C44BB0">
      <w:pPr>
        <w:pStyle w:val="Default"/>
        <w:numPr>
          <w:ilvl w:val="1"/>
          <w:numId w:val="1"/>
        </w:numPr>
        <w:spacing w:after="11"/>
        <w:rPr>
          <w:sz w:val="20"/>
          <w:szCs w:val="20"/>
        </w:rPr>
      </w:pPr>
      <w:r w:rsidRPr="00FF5579">
        <w:rPr>
          <w:sz w:val="20"/>
          <w:szCs w:val="20"/>
        </w:rPr>
        <w:t xml:space="preserve"> Annual household pre-tax job earni</w:t>
      </w:r>
      <w:r w:rsidR="00FF5579">
        <w:rPr>
          <w:sz w:val="20"/>
          <w:szCs w:val="20"/>
        </w:rPr>
        <w:t>ngs</w:t>
      </w:r>
    </w:p>
    <w:p w:rsidR="00FF5579" w:rsidRDefault="00C44BB0" w:rsidP="00C44BB0">
      <w:pPr>
        <w:pStyle w:val="Default"/>
        <w:numPr>
          <w:ilvl w:val="1"/>
          <w:numId w:val="1"/>
        </w:numPr>
        <w:spacing w:after="11"/>
        <w:rPr>
          <w:sz w:val="20"/>
          <w:szCs w:val="20"/>
        </w:rPr>
      </w:pPr>
      <w:r w:rsidRPr="00FF5579">
        <w:rPr>
          <w:sz w:val="20"/>
          <w:szCs w:val="20"/>
        </w:rPr>
        <w:t>Personal and business checking, savings, and investment b</w:t>
      </w:r>
      <w:r w:rsidR="00FF5579">
        <w:rPr>
          <w:sz w:val="20"/>
          <w:szCs w:val="20"/>
        </w:rPr>
        <w:t>alances in excess of $10,000.00</w:t>
      </w:r>
    </w:p>
    <w:p w:rsidR="00FF5579" w:rsidRDefault="00C44BB0" w:rsidP="00C44BB0">
      <w:pPr>
        <w:pStyle w:val="Default"/>
        <w:numPr>
          <w:ilvl w:val="1"/>
          <w:numId w:val="1"/>
        </w:numPr>
        <w:spacing w:after="11"/>
        <w:rPr>
          <w:sz w:val="20"/>
          <w:szCs w:val="20"/>
        </w:rPr>
      </w:pPr>
      <w:r w:rsidRPr="00FF5579">
        <w:rPr>
          <w:sz w:val="20"/>
          <w:szCs w:val="20"/>
        </w:rPr>
        <w:t>50% of ho</w:t>
      </w:r>
      <w:r w:rsidR="00FF5579">
        <w:rPr>
          <w:sz w:val="20"/>
          <w:szCs w:val="20"/>
        </w:rPr>
        <w:t xml:space="preserve">me equity in excess of $100,000 </w:t>
      </w:r>
      <w:r w:rsidR="00FF5579" w:rsidRPr="00FF5579">
        <w:rPr>
          <w:i/>
          <w:sz w:val="20"/>
          <w:szCs w:val="20"/>
        </w:rPr>
        <w:t>(determined per facility)</w:t>
      </w:r>
    </w:p>
    <w:p w:rsidR="00FF5579" w:rsidRDefault="00FF5579" w:rsidP="00C44BB0">
      <w:pPr>
        <w:pStyle w:val="Default"/>
        <w:numPr>
          <w:ilvl w:val="1"/>
          <w:numId w:val="1"/>
        </w:numPr>
        <w:spacing w:after="11"/>
        <w:rPr>
          <w:sz w:val="20"/>
          <w:szCs w:val="20"/>
        </w:rPr>
      </w:pPr>
      <w:r>
        <w:rPr>
          <w:sz w:val="20"/>
          <w:szCs w:val="20"/>
        </w:rPr>
        <w:t>Unemployment compensation</w:t>
      </w:r>
    </w:p>
    <w:p w:rsidR="00FF5579" w:rsidRDefault="00FF5579" w:rsidP="00C44BB0">
      <w:pPr>
        <w:pStyle w:val="Default"/>
        <w:numPr>
          <w:ilvl w:val="1"/>
          <w:numId w:val="1"/>
        </w:numPr>
        <w:spacing w:after="11"/>
        <w:rPr>
          <w:sz w:val="20"/>
          <w:szCs w:val="20"/>
        </w:rPr>
      </w:pPr>
      <w:r>
        <w:rPr>
          <w:sz w:val="20"/>
          <w:szCs w:val="20"/>
        </w:rPr>
        <w:t>Workers’ Compensation</w:t>
      </w:r>
    </w:p>
    <w:p w:rsidR="00FF5579" w:rsidRDefault="00C44BB0" w:rsidP="00C44BB0">
      <w:pPr>
        <w:pStyle w:val="Default"/>
        <w:numPr>
          <w:ilvl w:val="1"/>
          <w:numId w:val="1"/>
        </w:numPr>
        <w:spacing w:after="11"/>
        <w:rPr>
          <w:sz w:val="20"/>
          <w:szCs w:val="20"/>
        </w:rPr>
      </w:pPr>
      <w:r w:rsidRPr="00FF5579">
        <w:rPr>
          <w:sz w:val="20"/>
          <w:szCs w:val="20"/>
        </w:rPr>
        <w:t>Social Security a</w:t>
      </w:r>
      <w:r w:rsidR="00FF5579">
        <w:rPr>
          <w:sz w:val="20"/>
          <w:szCs w:val="20"/>
        </w:rPr>
        <w:t>nd Supplemental Security Income</w:t>
      </w:r>
    </w:p>
    <w:p w:rsidR="00FF5579" w:rsidRDefault="00C44BB0" w:rsidP="00C44BB0">
      <w:pPr>
        <w:pStyle w:val="Default"/>
        <w:numPr>
          <w:ilvl w:val="1"/>
          <w:numId w:val="1"/>
        </w:numPr>
        <w:spacing w:after="11"/>
        <w:rPr>
          <w:sz w:val="20"/>
          <w:szCs w:val="20"/>
        </w:rPr>
      </w:pPr>
      <w:r w:rsidRPr="00FF5579">
        <w:rPr>
          <w:sz w:val="20"/>
          <w:szCs w:val="20"/>
        </w:rPr>
        <w:t>Veteran</w:t>
      </w:r>
      <w:r w:rsidR="00FF5579">
        <w:rPr>
          <w:sz w:val="20"/>
          <w:szCs w:val="20"/>
        </w:rPr>
        <w:t>’s payments</w:t>
      </w:r>
    </w:p>
    <w:p w:rsidR="00FF5579" w:rsidRDefault="00FF5579" w:rsidP="00C44BB0">
      <w:pPr>
        <w:pStyle w:val="Default"/>
        <w:numPr>
          <w:ilvl w:val="1"/>
          <w:numId w:val="1"/>
        </w:numPr>
        <w:spacing w:after="11"/>
        <w:rPr>
          <w:sz w:val="20"/>
          <w:szCs w:val="20"/>
        </w:rPr>
      </w:pPr>
      <w:r>
        <w:rPr>
          <w:sz w:val="20"/>
          <w:szCs w:val="20"/>
        </w:rPr>
        <w:t>Pension or retirement income</w:t>
      </w:r>
    </w:p>
    <w:p w:rsidR="00FF5579" w:rsidRDefault="00C44BB0" w:rsidP="00C44BB0">
      <w:pPr>
        <w:pStyle w:val="Default"/>
        <w:numPr>
          <w:ilvl w:val="1"/>
          <w:numId w:val="1"/>
        </w:numPr>
        <w:spacing w:after="11"/>
        <w:rPr>
          <w:sz w:val="20"/>
          <w:szCs w:val="20"/>
        </w:rPr>
      </w:pPr>
      <w:r w:rsidRPr="00FF5579">
        <w:rPr>
          <w:sz w:val="20"/>
          <w:szCs w:val="20"/>
        </w:rPr>
        <w:t xml:space="preserve">Other applicable income to include, but not limited to, rents, alimony, child support, and </w:t>
      </w:r>
      <w:r w:rsidR="00FF5579">
        <w:rPr>
          <w:sz w:val="20"/>
          <w:szCs w:val="20"/>
        </w:rPr>
        <w:t>any other miscellaneous sources</w:t>
      </w:r>
    </w:p>
    <w:p w:rsidR="00FF5579" w:rsidRDefault="00C44BB0" w:rsidP="00FF5579">
      <w:pPr>
        <w:pStyle w:val="Default"/>
        <w:numPr>
          <w:ilvl w:val="0"/>
          <w:numId w:val="1"/>
        </w:numPr>
        <w:spacing w:after="11"/>
        <w:rPr>
          <w:sz w:val="20"/>
          <w:szCs w:val="20"/>
        </w:rPr>
      </w:pPr>
      <w:r w:rsidRPr="00FF5579">
        <w:rPr>
          <w:sz w:val="20"/>
          <w:szCs w:val="20"/>
        </w:rPr>
        <w:t>Medically Necessary: Hospital services provided to a patient in order to diagnose, alleviate, correct, cure or prevent the onset or worsening of conditions that endanger life, cause suffering or pain, cause physical deformity or malfunction, threaten to cause or aggravate a handicap, or result i</w:t>
      </w:r>
      <w:r w:rsidR="00FF5579">
        <w:rPr>
          <w:sz w:val="20"/>
          <w:szCs w:val="20"/>
        </w:rPr>
        <w:t>n overall illness or infirmity.</w:t>
      </w:r>
    </w:p>
    <w:p w:rsidR="00FF5579" w:rsidRDefault="00C44BB0" w:rsidP="00C44BB0">
      <w:pPr>
        <w:pStyle w:val="Default"/>
        <w:numPr>
          <w:ilvl w:val="0"/>
          <w:numId w:val="1"/>
        </w:numPr>
        <w:spacing w:after="11"/>
        <w:rPr>
          <w:sz w:val="20"/>
          <w:szCs w:val="20"/>
        </w:rPr>
      </w:pPr>
      <w:r w:rsidRPr="00FF5579">
        <w:rPr>
          <w:sz w:val="20"/>
          <w:szCs w:val="20"/>
        </w:rPr>
        <w:t xml:space="preserve">Underinsured: Patients covered by a source of third party funding, but at risk of high out-of-pocket expenditures due to their </w:t>
      </w:r>
      <w:proofErr w:type="gramStart"/>
      <w:r w:rsidRPr="00FF5579">
        <w:rPr>
          <w:sz w:val="20"/>
          <w:szCs w:val="20"/>
        </w:rPr>
        <w:t>plan’s</w:t>
      </w:r>
      <w:proofErr w:type="gramEnd"/>
      <w:r w:rsidRPr="00FF5579">
        <w:rPr>
          <w:sz w:val="20"/>
          <w:szCs w:val="20"/>
        </w:rPr>
        <w:t xml:space="preserve"> benefit package. This may include, but is not limited to, high deductible plans, high coinsurance/copay pla</w:t>
      </w:r>
      <w:r w:rsidR="00FF5579">
        <w:rPr>
          <w:sz w:val="20"/>
          <w:szCs w:val="20"/>
        </w:rPr>
        <w:t>ns, low per diem policies, etc.</w:t>
      </w:r>
    </w:p>
    <w:p w:rsidR="00C44BB0" w:rsidRPr="00FF5579" w:rsidRDefault="00C44BB0" w:rsidP="00C44BB0">
      <w:pPr>
        <w:pStyle w:val="Default"/>
        <w:numPr>
          <w:ilvl w:val="0"/>
          <w:numId w:val="1"/>
        </w:numPr>
        <w:spacing w:after="11"/>
        <w:rPr>
          <w:sz w:val="20"/>
          <w:szCs w:val="20"/>
        </w:rPr>
      </w:pPr>
      <w:r w:rsidRPr="00FF5579">
        <w:rPr>
          <w:color w:val="auto"/>
          <w:sz w:val="20"/>
          <w:szCs w:val="20"/>
        </w:rPr>
        <w:t>Uninsured: Patients who are not covered under an insurance health plan, an ACA subsidized insurance plan, Workers’ Compensation, governmental plans such as Medicare and Medicaid, State/Federal Ag</w:t>
      </w:r>
      <w:r w:rsidR="001A443D">
        <w:rPr>
          <w:color w:val="auto"/>
          <w:sz w:val="20"/>
          <w:szCs w:val="20"/>
        </w:rPr>
        <w:t>ency plan</w:t>
      </w:r>
      <w:r w:rsidRPr="00FF5579">
        <w:rPr>
          <w:color w:val="auto"/>
          <w:sz w:val="20"/>
          <w:szCs w:val="20"/>
        </w:rPr>
        <w:t xml:space="preserve">, Victim’s Assistance, etc., or third-party liability resulting from automobile or other accidents. </w:t>
      </w:r>
    </w:p>
    <w:p w:rsidR="00C44BB0" w:rsidRDefault="00C44BB0" w:rsidP="00C44BB0">
      <w:pPr>
        <w:pStyle w:val="Default"/>
        <w:rPr>
          <w:color w:val="auto"/>
          <w:sz w:val="20"/>
          <w:szCs w:val="20"/>
        </w:rPr>
      </w:pPr>
    </w:p>
    <w:p w:rsidR="00C44BB0" w:rsidRDefault="00C44BB0" w:rsidP="00C44BB0">
      <w:pPr>
        <w:pStyle w:val="Default"/>
        <w:rPr>
          <w:color w:val="auto"/>
          <w:sz w:val="20"/>
          <w:szCs w:val="20"/>
        </w:rPr>
      </w:pPr>
      <w:r>
        <w:rPr>
          <w:b/>
          <w:bCs/>
          <w:color w:val="auto"/>
          <w:sz w:val="20"/>
          <w:szCs w:val="20"/>
        </w:rPr>
        <w:t xml:space="preserve">Policy </w:t>
      </w:r>
    </w:p>
    <w:p w:rsidR="00C44BB0" w:rsidRDefault="00C44BB0" w:rsidP="00C44BB0">
      <w:pPr>
        <w:pStyle w:val="Default"/>
        <w:rPr>
          <w:color w:val="auto"/>
          <w:sz w:val="20"/>
          <w:szCs w:val="20"/>
        </w:rPr>
      </w:pPr>
      <w:r>
        <w:rPr>
          <w:color w:val="auto"/>
          <w:sz w:val="20"/>
          <w:szCs w:val="20"/>
        </w:rPr>
        <w:t>Patients who do not qualify for financial assistance under the guidelines of the Hospital Financial Assistance policy may request to be revi</w:t>
      </w:r>
      <w:r w:rsidR="00FF5579">
        <w:rPr>
          <w:color w:val="auto"/>
          <w:sz w:val="20"/>
          <w:szCs w:val="20"/>
        </w:rPr>
        <w:t>ewed for a hardship settlement.</w:t>
      </w:r>
    </w:p>
    <w:p w:rsidR="00FF5579" w:rsidRDefault="00FF5579" w:rsidP="00C44BB0">
      <w:pPr>
        <w:pStyle w:val="Default"/>
        <w:rPr>
          <w:color w:val="auto"/>
          <w:sz w:val="20"/>
          <w:szCs w:val="20"/>
        </w:rPr>
      </w:pPr>
    </w:p>
    <w:p w:rsidR="00C44BB0" w:rsidRDefault="00C44BB0" w:rsidP="00C44BB0">
      <w:pPr>
        <w:pStyle w:val="Default"/>
        <w:rPr>
          <w:color w:val="auto"/>
          <w:sz w:val="20"/>
          <w:szCs w:val="20"/>
        </w:rPr>
      </w:pPr>
      <w:r>
        <w:rPr>
          <w:color w:val="auto"/>
          <w:sz w:val="20"/>
          <w:szCs w:val="20"/>
        </w:rPr>
        <w:t>The granting of a hardship settlement shall be based on a request from a patient</w:t>
      </w:r>
      <w:r w:rsidR="006A7081">
        <w:rPr>
          <w:color w:val="auto"/>
          <w:sz w:val="20"/>
          <w:szCs w:val="20"/>
        </w:rPr>
        <w:t>,</w:t>
      </w:r>
      <w:r w:rsidR="00CC2763">
        <w:rPr>
          <w:color w:val="auto"/>
          <w:sz w:val="20"/>
          <w:szCs w:val="20"/>
        </w:rPr>
        <w:t xml:space="preserve"> </w:t>
      </w:r>
      <w:r>
        <w:rPr>
          <w:color w:val="auto"/>
          <w:sz w:val="20"/>
          <w:szCs w:val="20"/>
        </w:rPr>
        <w:t xml:space="preserve">and on the determination of financial need. Financial need will be determined by comparing a patient’s total household financial resources and assets to the patient’s total remaining hospital balance after payment by all third parties. To be eligible for a hardship settlement, the following criteria must be met: </w:t>
      </w:r>
    </w:p>
    <w:p w:rsidR="00FF5579" w:rsidRDefault="00C44BB0" w:rsidP="00C44BB0">
      <w:pPr>
        <w:pStyle w:val="Default"/>
        <w:numPr>
          <w:ilvl w:val="0"/>
          <w:numId w:val="1"/>
        </w:numPr>
        <w:spacing w:after="28"/>
        <w:rPr>
          <w:color w:val="auto"/>
          <w:sz w:val="20"/>
          <w:szCs w:val="20"/>
        </w:rPr>
      </w:pPr>
      <w:r>
        <w:rPr>
          <w:color w:val="auto"/>
          <w:sz w:val="20"/>
          <w:szCs w:val="20"/>
        </w:rPr>
        <w:t xml:space="preserve">The remaining hospital balance after all third party payments must be </w:t>
      </w:r>
      <w:r w:rsidR="00227C40">
        <w:rPr>
          <w:color w:val="auto"/>
          <w:sz w:val="20"/>
          <w:szCs w:val="20"/>
        </w:rPr>
        <w:t xml:space="preserve">equal to or </w:t>
      </w:r>
      <w:r>
        <w:rPr>
          <w:color w:val="auto"/>
          <w:sz w:val="20"/>
          <w:szCs w:val="20"/>
        </w:rPr>
        <w:t>greater than $</w:t>
      </w:r>
      <w:r w:rsidR="00227C40">
        <w:rPr>
          <w:color w:val="auto"/>
          <w:sz w:val="20"/>
          <w:szCs w:val="20"/>
        </w:rPr>
        <w:t>1000</w:t>
      </w:r>
      <w:r>
        <w:rPr>
          <w:color w:val="auto"/>
          <w:sz w:val="20"/>
          <w:szCs w:val="20"/>
        </w:rPr>
        <w:t>.00</w:t>
      </w:r>
      <w:r w:rsidR="000C6151">
        <w:rPr>
          <w:color w:val="auto"/>
          <w:sz w:val="20"/>
          <w:szCs w:val="20"/>
        </w:rPr>
        <w:t xml:space="preserve">, </w:t>
      </w:r>
      <w:r>
        <w:rPr>
          <w:color w:val="auto"/>
          <w:sz w:val="20"/>
          <w:szCs w:val="20"/>
        </w:rPr>
        <w:t>and has no</w:t>
      </w:r>
      <w:r w:rsidR="00FF5579">
        <w:rPr>
          <w:color w:val="auto"/>
          <w:sz w:val="20"/>
          <w:szCs w:val="20"/>
        </w:rPr>
        <w:t>t been categorized as bad debt.</w:t>
      </w:r>
    </w:p>
    <w:p w:rsidR="00C44BB0" w:rsidRPr="00FF5579" w:rsidRDefault="00C44BB0" w:rsidP="00C44BB0">
      <w:pPr>
        <w:pStyle w:val="Default"/>
        <w:numPr>
          <w:ilvl w:val="0"/>
          <w:numId w:val="1"/>
        </w:numPr>
        <w:spacing w:after="28"/>
        <w:rPr>
          <w:color w:val="auto"/>
          <w:sz w:val="20"/>
          <w:szCs w:val="20"/>
        </w:rPr>
      </w:pPr>
      <w:r w:rsidRPr="00FF5579">
        <w:rPr>
          <w:color w:val="auto"/>
          <w:sz w:val="20"/>
          <w:szCs w:val="20"/>
        </w:rPr>
        <w:t xml:space="preserve">The remaining hospital balance after all third party payments must be greater than 20% of the patient’s total household financial resources and has not been categorized as bad debt. </w:t>
      </w:r>
    </w:p>
    <w:p w:rsidR="00C44BB0" w:rsidRDefault="00C44BB0" w:rsidP="00C44BB0">
      <w:pPr>
        <w:pStyle w:val="Default"/>
        <w:rPr>
          <w:color w:val="auto"/>
          <w:sz w:val="20"/>
          <w:szCs w:val="20"/>
        </w:rPr>
      </w:pPr>
    </w:p>
    <w:p w:rsidR="00FF5579" w:rsidRDefault="00C44BB0" w:rsidP="00C44BB0">
      <w:pPr>
        <w:pStyle w:val="Default"/>
        <w:rPr>
          <w:color w:val="auto"/>
          <w:sz w:val="20"/>
          <w:szCs w:val="20"/>
        </w:rPr>
      </w:pPr>
      <w:r>
        <w:rPr>
          <w:color w:val="auto"/>
          <w:sz w:val="20"/>
          <w:szCs w:val="20"/>
        </w:rPr>
        <w:t>C</w:t>
      </w:r>
      <w:r w:rsidR="006A7081">
        <w:rPr>
          <w:color w:val="auto"/>
          <w:sz w:val="20"/>
          <w:szCs w:val="20"/>
        </w:rPr>
        <w:t>R</w:t>
      </w:r>
      <w:r>
        <w:rPr>
          <w:color w:val="auto"/>
          <w:sz w:val="20"/>
          <w:szCs w:val="20"/>
        </w:rPr>
        <w:t>HS will uphold confidentiality of information and maintain the dignity for all patients seeking a hardship settlement.</w:t>
      </w:r>
    </w:p>
    <w:p w:rsidR="00C44BB0" w:rsidRDefault="00C44BB0" w:rsidP="00C44BB0">
      <w:pPr>
        <w:pStyle w:val="Default"/>
        <w:rPr>
          <w:color w:val="auto"/>
          <w:sz w:val="20"/>
          <w:szCs w:val="20"/>
        </w:rPr>
      </w:pPr>
    </w:p>
    <w:p w:rsidR="00C44BB0" w:rsidRDefault="00C44BB0" w:rsidP="00C44BB0">
      <w:pPr>
        <w:pStyle w:val="Default"/>
        <w:rPr>
          <w:color w:val="auto"/>
          <w:sz w:val="20"/>
          <w:szCs w:val="20"/>
        </w:rPr>
      </w:pPr>
      <w:r>
        <w:rPr>
          <w:b/>
          <w:bCs/>
          <w:color w:val="auto"/>
          <w:sz w:val="20"/>
          <w:szCs w:val="20"/>
        </w:rPr>
        <w:t xml:space="preserve">Eligibility Guidelines </w:t>
      </w:r>
    </w:p>
    <w:p w:rsidR="00FF5579" w:rsidRPr="00FF5579" w:rsidRDefault="00FF5579" w:rsidP="00C44BB0">
      <w:pPr>
        <w:pStyle w:val="Default"/>
        <w:numPr>
          <w:ilvl w:val="0"/>
          <w:numId w:val="1"/>
        </w:numPr>
        <w:spacing w:after="23"/>
        <w:rPr>
          <w:color w:val="auto"/>
          <w:sz w:val="20"/>
          <w:szCs w:val="20"/>
        </w:rPr>
      </w:pPr>
      <w:r>
        <w:rPr>
          <w:b/>
          <w:bCs/>
          <w:color w:val="auto"/>
          <w:sz w:val="20"/>
          <w:szCs w:val="20"/>
        </w:rPr>
        <w:t>Services Eligible:</w:t>
      </w:r>
    </w:p>
    <w:p w:rsidR="00FF5579" w:rsidRDefault="00C44BB0" w:rsidP="00C44BB0">
      <w:pPr>
        <w:pStyle w:val="Default"/>
        <w:numPr>
          <w:ilvl w:val="1"/>
          <w:numId w:val="1"/>
        </w:numPr>
        <w:spacing w:after="23"/>
        <w:rPr>
          <w:color w:val="auto"/>
          <w:sz w:val="20"/>
          <w:szCs w:val="20"/>
        </w:rPr>
      </w:pPr>
      <w:r w:rsidRPr="00FF5579">
        <w:rPr>
          <w:color w:val="auto"/>
          <w:sz w:val="20"/>
          <w:szCs w:val="20"/>
        </w:rPr>
        <w:t xml:space="preserve">All medically necessary (as determined by </w:t>
      </w:r>
      <w:r w:rsidR="00FF5579">
        <w:rPr>
          <w:color w:val="auto"/>
          <w:sz w:val="20"/>
          <w:szCs w:val="20"/>
        </w:rPr>
        <w:t>a physician) inpatient services</w:t>
      </w:r>
    </w:p>
    <w:p w:rsidR="00FF5579" w:rsidRDefault="00C44BB0" w:rsidP="00C44BB0">
      <w:pPr>
        <w:pStyle w:val="Default"/>
        <w:numPr>
          <w:ilvl w:val="1"/>
          <w:numId w:val="1"/>
        </w:numPr>
        <w:spacing w:after="23"/>
        <w:rPr>
          <w:color w:val="auto"/>
          <w:sz w:val="20"/>
          <w:szCs w:val="20"/>
        </w:rPr>
      </w:pPr>
      <w:r w:rsidRPr="00FF5579">
        <w:rPr>
          <w:color w:val="auto"/>
          <w:sz w:val="20"/>
          <w:szCs w:val="20"/>
        </w:rPr>
        <w:t>All medically necessary (as determined by a</w:t>
      </w:r>
      <w:r w:rsidR="00FF5579">
        <w:rPr>
          <w:color w:val="auto"/>
          <w:sz w:val="20"/>
          <w:szCs w:val="20"/>
        </w:rPr>
        <w:t xml:space="preserve"> physician) outpatient services</w:t>
      </w:r>
    </w:p>
    <w:p w:rsidR="00FF5579" w:rsidRPr="00936A88" w:rsidRDefault="00C44BB0" w:rsidP="00936A88">
      <w:pPr>
        <w:pStyle w:val="Default"/>
        <w:numPr>
          <w:ilvl w:val="1"/>
          <w:numId w:val="1"/>
        </w:numPr>
        <w:spacing w:after="23"/>
        <w:rPr>
          <w:color w:val="auto"/>
          <w:sz w:val="20"/>
          <w:szCs w:val="20"/>
        </w:rPr>
      </w:pPr>
      <w:r w:rsidRPr="00FF5579">
        <w:rPr>
          <w:color w:val="auto"/>
          <w:sz w:val="20"/>
          <w:szCs w:val="20"/>
        </w:rPr>
        <w:t>All hospital emergency medical services provid</w:t>
      </w:r>
      <w:r w:rsidR="00FF5579">
        <w:rPr>
          <w:color w:val="auto"/>
          <w:sz w:val="20"/>
          <w:szCs w:val="20"/>
        </w:rPr>
        <w:t>ed in an emergency room setting</w:t>
      </w:r>
    </w:p>
    <w:p w:rsidR="00FF5579" w:rsidRDefault="00C44BB0" w:rsidP="00FF5579">
      <w:pPr>
        <w:pStyle w:val="Default"/>
        <w:spacing w:after="23"/>
        <w:ind w:left="1440"/>
        <w:rPr>
          <w:color w:val="auto"/>
          <w:sz w:val="20"/>
          <w:szCs w:val="20"/>
        </w:rPr>
      </w:pPr>
      <w:r w:rsidRPr="00FF5579">
        <w:rPr>
          <w:color w:val="auto"/>
          <w:sz w:val="20"/>
          <w:szCs w:val="20"/>
        </w:rPr>
        <w:t xml:space="preserve"> </w:t>
      </w:r>
    </w:p>
    <w:p w:rsidR="00FF5579" w:rsidRPr="00FF5579" w:rsidRDefault="00FF5579" w:rsidP="00FF5579">
      <w:pPr>
        <w:pStyle w:val="Default"/>
        <w:numPr>
          <w:ilvl w:val="0"/>
          <w:numId w:val="1"/>
        </w:numPr>
        <w:spacing w:after="23"/>
        <w:rPr>
          <w:color w:val="auto"/>
          <w:sz w:val="20"/>
          <w:szCs w:val="20"/>
        </w:rPr>
      </w:pPr>
      <w:r>
        <w:rPr>
          <w:b/>
          <w:bCs/>
          <w:color w:val="auto"/>
          <w:sz w:val="20"/>
          <w:szCs w:val="20"/>
        </w:rPr>
        <w:t>Services Ineligible</w:t>
      </w:r>
    </w:p>
    <w:p w:rsidR="00901CFB" w:rsidRDefault="00901CFB" w:rsidP="00901CFB">
      <w:pPr>
        <w:pStyle w:val="Default"/>
        <w:numPr>
          <w:ilvl w:val="1"/>
          <w:numId w:val="1"/>
        </w:numPr>
        <w:spacing w:after="23"/>
        <w:rPr>
          <w:color w:val="auto"/>
          <w:sz w:val="20"/>
          <w:szCs w:val="20"/>
        </w:rPr>
      </w:pPr>
      <w:r>
        <w:rPr>
          <w:color w:val="auto"/>
          <w:sz w:val="20"/>
          <w:szCs w:val="20"/>
        </w:rPr>
        <w:t>Elective and cosmetic services</w:t>
      </w:r>
    </w:p>
    <w:p w:rsidR="00901CFB" w:rsidRDefault="00901CFB" w:rsidP="00901CFB">
      <w:pPr>
        <w:pStyle w:val="Default"/>
        <w:numPr>
          <w:ilvl w:val="1"/>
          <w:numId w:val="1"/>
        </w:numPr>
        <w:spacing w:after="23"/>
        <w:rPr>
          <w:color w:val="auto"/>
          <w:sz w:val="20"/>
          <w:szCs w:val="20"/>
        </w:rPr>
      </w:pPr>
      <w:r>
        <w:rPr>
          <w:color w:val="auto"/>
          <w:sz w:val="20"/>
          <w:szCs w:val="20"/>
        </w:rPr>
        <w:t>Outpatient pharmacy services</w:t>
      </w:r>
    </w:p>
    <w:p w:rsidR="00901CFB" w:rsidRDefault="00C44BB0" w:rsidP="00C44BB0">
      <w:pPr>
        <w:pStyle w:val="Default"/>
        <w:numPr>
          <w:ilvl w:val="1"/>
          <w:numId w:val="1"/>
        </w:numPr>
        <w:spacing w:after="23"/>
        <w:rPr>
          <w:color w:val="auto"/>
          <w:sz w:val="20"/>
          <w:szCs w:val="20"/>
        </w:rPr>
      </w:pPr>
      <w:r w:rsidRPr="00901CFB">
        <w:rPr>
          <w:color w:val="auto"/>
          <w:sz w:val="20"/>
          <w:szCs w:val="20"/>
        </w:rPr>
        <w:t xml:space="preserve">Accounts categorized as bad debt </w:t>
      </w:r>
    </w:p>
    <w:p w:rsidR="00901CFB" w:rsidRDefault="00901CFB" w:rsidP="00901CFB">
      <w:pPr>
        <w:pStyle w:val="Default"/>
        <w:spacing w:after="23"/>
        <w:ind w:left="1440"/>
        <w:rPr>
          <w:color w:val="auto"/>
          <w:sz w:val="20"/>
          <w:szCs w:val="20"/>
        </w:rPr>
      </w:pPr>
    </w:p>
    <w:p w:rsidR="00901CFB" w:rsidRPr="00901CFB" w:rsidRDefault="00901CFB" w:rsidP="00C44BB0">
      <w:pPr>
        <w:pStyle w:val="Default"/>
        <w:numPr>
          <w:ilvl w:val="0"/>
          <w:numId w:val="1"/>
        </w:numPr>
        <w:spacing w:after="23"/>
        <w:rPr>
          <w:color w:val="auto"/>
          <w:sz w:val="20"/>
          <w:szCs w:val="20"/>
        </w:rPr>
      </w:pPr>
      <w:r>
        <w:rPr>
          <w:b/>
          <w:bCs/>
          <w:color w:val="auto"/>
          <w:sz w:val="20"/>
          <w:szCs w:val="20"/>
        </w:rPr>
        <w:t>Patients Eligible</w:t>
      </w:r>
    </w:p>
    <w:p w:rsidR="00901CFB" w:rsidRDefault="00C44BB0" w:rsidP="00C44BB0">
      <w:pPr>
        <w:pStyle w:val="Default"/>
        <w:numPr>
          <w:ilvl w:val="1"/>
          <w:numId w:val="1"/>
        </w:numPr>
        <w:spacing w:after="23"/>
        <w:rPr>
          <w:color w:val="auto"/>
          <w:sz w:val="20"/>
          <w:szCs w:val="20"/>
        </w:rPr>
      </w:pPr>
      <w:r w:rsidRPr="00901CFB">
        <w:rPr>
          <w:color w:val="auto"/>
          <w:sz w:val="20"/>
          <w:szCs w:val="20"/>
        </w:rPr>
        <w:t>North Caroli</w:t>
      </w:r>
      <w:r w:rsidR="00901CFB">
        <w:rPr>
          <w:color w:val="auto"/>
          <w:sz w:val="20"/>
          <w:szCs w:val="20"/>
        </w:rPr>
        <w:t>na and South Carolina residents</w:t>
      </w:r>
    </w:p>
    <w:p w:rsidR="006F0C09" w:rsidRDefault="00C44BB0" w:rsidP="006F0C09">
      <w:pPr>
        <w:pStyle w:val="Default"/>
        <w:numPr>
          <w:ilvl w:val="1"/>
          <w:numId w:val="1"/>
        </w:numPr>
        <w:spacing w:after="23"/>
        <w:rPr>
          <w:color w:val="auto"/>
          <w:sz w:val="20"/>
          <w:szCs w:val="20"/>
        </w:rPr>
      </w:pPr>
      <w:r w:rsidRPr="00901CFB">
        <w:rPr>
          <w:color w:val="auto"/>
          <w:sz w:val="20"/>
          <w:szCs w:val="20"/>
        </w:rPr>
        <w:t xml:space="preserve">Patients who properly and truthfully complete a Hardship Settlement Application </w:t>
      </w:r>
    </w:p>
    <w:p w:rsidR="006F0C09" w:rsidRDefault="006F0C09" w:rsidP="006F0C09">
      <w:pPr>
        <w:pStyle w:val="Default"/>
        <w:spacing w:after="23"/>
        <w:ind w:left="1440"/>
        <w:rPr>
          <w:color w:val="auto"/>
          <w:sz w:val="20"/>
          <w:szCs w:val="20"/>
        </w:rPr>
      </w:pPr>
    </w:p>
    <w:p w:rsidR="006F0C09" w:rsidRPr="006F0C09" w:rsidRDefault="006F0C09" w:rsidP="006F0C09">
      <w:pPr>
        <w:pStyle w:val="Default"/>
        <w:numPr>
          <w:ilvl w:val="0"/>
          <w:numId w:val="1"/>
        </w:numPr>
        <w:spacing w:after="23"/>
        <w:rPr>
          <w:color w:val="auto"/>
          <w:sz w:val="20"/>
          <w:szCs w:val="20"/>
        </w:rPr>
      </w:pPr>
      <w:r>
        <w:rPr>
          <w:b/>
          <w:bCs/>
          <w:color w:val="auto"/>
          <w:sz w:val="20"/>
          <w:szCs w:val="20"/>
        </w:rPr>
        <w:t>Patients Ineligible</w:t>
      </w:r>
    </w:p>
    <w:p w:rsidR="006F0C09" w:rsidRDefault="00C44BB0" w:rsidP="006F0C09">
      <w:pPr>
        <w:pStyle w:val="Default"/>
        <w:numPr>
          <w:ilvl w:val="1"/>
          <w:numId w:val="1"/>
        </w:numPr>
        <w:spacing w:after="23"/>
        <w:rPr>
          <w:color w:val="auto"/>
          <w:sz w:val="20"/>
          <w:szCs w:val="20"/>
        </w:rPr>
      </w:pPr>
      <w:r w:rsidRPr="006F0C09">
        <w:rPr>
          <w:color w:val="auto"/>
          <w:sz w:val="20"/>
          <w:szCs w:val="20"/>
        </w:rPr>
        <w:t xml:space="preserve">Patients provided assistance based on the </w:t>
      </w:r>
      <w:r w:rsidR="006F0C09">
        <w:rPr>
          <w:color w:val="auto"/>
          <w:sz w:val="20"/>
          <w:szCs w:val="20"/>
        </w:rPr>
        <w:t>Hospital Financial Assistance policy</w:t>
      </w:r>
    </w:p>
    <w:p w:rsidR="006C1AB2" w:rsidRDefault="00C44BB0" w:rsidP="006C1AB2">
      <w:pPr>
        <w:pStyle w:val="Default"/>
        <w:numPr>
          <w:ilvl w:val="1"/>
          <w:numId w:val="1"/>
        </w:numPr>
        <w:spacing w:after="23"/>
        <w:rPr>
          <w:color w:val="auto"/>
          <w:sz w:val="20"/>
          <w:szCs w:val="20"/>
        </w:rPr>
      </w:pPr>
      <w:r w:rsidRPr="006F0C09">
        <w:rPr>
          <w:color w:val="auto"/>
          <w:sz w:val="20"/>
          <w:szCs w:val="20"/>
        </w:rPr>
        <w:t xml:space="preserve">Uninsured patients who did not cooperate with the process under the Hospital </w:t>
      </w:r>
      <w:r w:rsidR="006C1AB2">
        <w:rPr>
          <w:color w:val="auto"/>
          <w:sz w:val="20"/>
          <w:szCs w:val="20"/>
        </w:rPr>
        <w:t>Financial Assistance policy.</w:t>
      </w:r>
    </w:p>
    <w:p w:rsidR="006C1AB2" w:rsidRDefault="006C1AB2" w:rsidP="00C44BB0">
      <w:pPr>
        <w:pStyle w:val="Default"/>
        <w:numPr>
          <w:ilvl w:val="1"/>
          <w:numId w:val="1"/>
        </w:numPr>
        <w:spacing w:after="23"/>
        <w:rPr>
          <w:color w:val="auto"/>
          <w:sz w:val="20"/>
          <w:szCs w:val="20"/>
        </w:rPr>
      </w:pPr>
      <w:r>
        <w:rPr>
          <w:color w:val="auto"/>
          <w:sz w:val="20"/>
          <w:szCs w:val="20"/>
        </w:rPr>
        <w:t xml:space="preserve">Patients </w:t>
      </w:r>
      <w:r w:rsidR="00C44BB0" w:rsidRPr="006C1AB2">
        <w:rPr>
          <w:color w:val="auto"/>
          <w:sz w:val="20"/>
          <w:szCs w:val="20"/>
        </w:rPr>
        <w:t>who do not reside in N</w:t>
      </w:r>
      <w:r>
        <w:rPr>
          <w:color w:val="auto"/>
          <w:sz w:val="20"/>
          <w:szCs w:val="20"/>
        </w:rPr>
        <w:t>orth Carolina or South Carolina</w:t>
      </w:r>
    </w:p>
    <w:p w:rsidR="006C1AB2" w:rsidRDefault="00C44BB0" w:rsidP="00C44BB0">
      <w:pPr>
        <w:pStyle w:val="Default"/>
        <w:numPr>
          <w:ilvl w:val="1"/>
          <w:numId w:val="1"/>
        </w:numPr>
        <w:spacing w:after="23"/>
        <w:rPr>
          <w:color w:val="auto"/>
          <w:sz w:val="20"/>
          <w:szCs w:val="20"/>
        </w:rPr>
      </w:pPr>
      <w:r w:rsidRPr="006C1AB2">
        <w:rPr>
          <w:color w:val="auto"/>
          <w:sz w:val="20"/>
          <w:szCs w:val="20"/>
        </w:rPr>
        <w:t xml:space="preserve">Patients who </w:t>
      </w:r>
      <w:r w:rsidR="006C1AB2">
        <w:rPr>
          <w:color w:val="auto"/>
          <w:sz w:val="20"/>
          <w:szCs w:val="20"/>
        </w:rPr>
        <w:t>provide false information</w:t>
      </w:r>
      <w:r w:rsidRPr="006C1AB2">
        <w:rPr>
          <w:color w:val="auto"/>
          <w:sz w:val="20"/>
          <w:szCs w:val="20"/>
        </w:rPr>
        <w:t xml:space="preserve"> </w:t>
      </w:r>
    </w:p>
    <w:p w:rsidR="006C1AB2" w:rsidRDefault="006C1AB2" w:rsidP="006C1AB2">
      <w:pPr>
        <w:pStyle w:val="Default"/>
        <w:spacing w:after="23"/>
        <w:ind w:left="1440"/>
        <w:rPr>
          <w:color w:val="auto"/>
          <w:sz w:val="20"/>
          <w:szCs w:val="20"/>
        </w:rPr>
      </w:pPr>
    </w:p>
    <w:p w:rsidR="006C1AB2" w:rsidRPr="006C1AB2" w:rsidRDefault="006C1AB2" w:rsidP="00C44BB0">
      <w:pPr>
        <w:pStyle w:val="Default"/>
        <w:numPr>
          <w:ilvl w:val="0"/>
          <w:numId w:val="1"/>
        </w:numPr>
        <w:spacing w:after="23"/>
        <w:rPr>
          <w:color w:val="auto"/>
          <w:sz w:val="20"/>
          <w:szCs w:val="20"/>
        </w:rPr>
      </w:pPr>
      <w:r>
        <w:rPr>
          <w:b/>
          <w:bCs/>
          <w:color w:val="auto"/>
          <w:sz w:val="20"/>
          <w:szCs w:val="20"/>
        </w:rPr>
        <w:t>Balances Eligible</w:t>
      </w:r>
    </w:p>
    <w:p w:rsidR="006C1AB2" w:rsidRDefault="00C44BB0" w:rsidP="00C44BB0">
      <w:pPr>
        <w:pStyle w:val="Default"/>
        <w:numPr>
          <w:ilvl w:val="1"/>
          <w:numId w:val="1"/>
        </w:numPr>
        <w:spacing w:after="23"/>
        <w:rPr>
          <w:color w:val="auto"/>
          <w:sz w:val="20"/>
          <w:szCs w:val="20"/>
        </w:rPr>
      </w:pPr>
      <w:r w:rsidRPr="006C1AB2">
        <w:rPr>
          <w:color w:val="auto"/>
          <w:sz w:val="20"/>
          <w:szCs w:val="20"/>
        </w:rPr>
        <w:t>Remaining hospital balances after all third party payments in excess of $</w:t>
      </w:r>
      <w:r w:rsidR="00720199">
        <w:rPr>
          <w:color w:val="auto"/>
          <w:sz w:val="20"/>
          <w:szCs w:val="20"/>
        </w:rPr>
        <w:t>1,000</w:t>
      </w:r>
      <w:r w:rsidR="006C1AB2">
        <w:rPr>
          <w:color w:val="auto"/>
          <w:sz w:val="20"/>
          <w:szCs w:val="20"/>
        </w:rPr>
        <w:t xml:space="preserve"> </w:t>
      </w:r>
      <w:r w:rsidRPr="006C1AB2">
        <w:rPr>
          <w:color w:val="auto"/>
          <w:sz w:val="20"/>
          <w:szCs w:val="20"/>
        </w:rPr>
        <w:t>that ha</w:t>
      </w:r>
      <w:r w:rsidR="006C1AB2">
        <w:rPr>
          <w:color w:val="auto"/>
          <w:sz w:val="20"/>
          <w:szCs w:val="20"/>
        </w:rPr>
        <w:t>ve</w:t>
      </w:r>
      <w:r w:rsidRPr="006C1AB2">
        <w:rPr>
          <w:color w:val="auto"/>
          <w:sz w:val="20"/>
          <w:szCs w:val="20"/>
        </w:rPr>
        <w:t xml:space="preserve"> not been ca</w:t>
      </w:r>
      <w:r w:rsidR="006C1AB2">
        <w:rPr>
          <w:color w:val="auto"/>
          <w:sz w:val="20"/>
          <w:szCs w:val="20"/>
        </w:rPr>
        <w:t>tegorized as bad debt.</w:t>
      </w:r>
    </w:p>
    <w:p w:rsidR="00C44BB0" w:rsidRPr="006C1AB2" w:rsidRDefault="00C44BB0" w:rsidP="00C44BB0">
      <w:pPr>
        <w:pStyle w:val="Default"/>
        <w:numPr>
          <w:ilvl w:val="1"/>
          <w:numId w:val="1"/>
        </w:numPr>
        <w:spacing w:after="23"/>
        <w:rPr>
          <w:color w:val="auto"/>
          <w:sz w:val="18"/>
          <w:szCs w:val="18"/>
        </w:rPr>
      </w:pPr>
      <w:r w:rsidRPr="006C1AB2">
        <w:rPr>
          <w:color w:val="auto"/>
          <w:sz w:val="20"/>
          <w:szCs w:val="20"/>
        </w:rPr>
        <w:t>Remaining hospital balances after all third party payments in excess of 20% of a patient’s total househ</w:t>
      </w:r>
      <w:r w:rsidR="006C1AB2" w:rsidRPr="006C1AB2">
        <w:rPr>
          <w:color w:val="auto"/>
          <w:sz w:val="20"/>
          <w:szCs w:val="20"/>
        </w:rPr>
        <w:t>old financial resources that have</w:t>
      </w:r>
      <w:r w:rsidRPr="006C1AB2">
        <w:rPr>
          <w:color w:val="auto"/>
          <w:sz w:val="20"/>
          <w:szCs w:val="20"/>
        </w:rPr>
        <w:t xml:space="preserve"> not been categorized as bad debt. </w:t>
      </w:r>
      <w:r w:rsidRPr="006C1AB2">
        <w:rPr>
          <w:color w:val="auto"/>
          <w:sz w:val="18"/>
          <w:szCs w:val="18"/>
        </w:rPr>
        <w:t xml:space="preserve"> </w:t>
      </w:r>
    </w:p>
    <w:p w:rsidR="00C44BB0" w:rsidRDefault="00C44BB0" w:rsidP="00C44BB0">
      <w:pPr>
        <w:pStyle w:val="Default"/>
        <w:rPr>
          <w:color w:val="auto"/>
        </w:rPr>
      </w:pPr>
    </w:p>
    <w:p w:rsidR="00C44BB0" w:rsidRDefault="00C44BB0" w:rsidP="00C44BB0">
      <w:pPr>
        <w:pStyle w:val="Default"/>
        <w:pageBreakBefore/>
        <w:rPr>
          <w:color w:val="auto"/>
          <w:sz w:val="20"/>
          <w:szCs w:val="20"/>
        </w:rPr>
      </w:pPr>
      <w:r>
        <w:rPr>
          <w:b/>
          <w:bCs/>
          <w:color w:val="auto"/>
          <w:sz w:val="20"/>
          <w:szCs w:val="20"/>
        </w:rPr>
        <w:lastRenderedPageBreak/>
        <w:t xml:space="preserve">Eligibility Determination </w:t>
      </w:r>
    </w:p>
    <w:p w:rsidR="006C1AB2" w:rsidRDefault="00C44BB0" w:rsidP="00C44BB0">
      <w:pPr>
        <w:pStyle w:val="Default"/>
        <w:rPr>
          <w:color w:val="auto"/>
          <w:sz w:val="20"/>
          <w:szCs w:val="20"/>
        </w:rPr>
      </w:pPr>
      <w:r>
        <w:rPr>
          <w:color w:val="auto"/>
          <w:sz w:val="20"/>
          <w:szCs w:val="20"/>
        </w:rPr>
        <w:t>If a patient cooperated with</w:t>
      </w:r>
      <w:r w:rsidR="000C6151">
        <w:rPr>
          <w:color w:val="auto"/>
          <w:sz w:val="20"/>
          <w:szCs w:val="20"/>
        </w:rPr>
        <w:t>,</w:t>
      </w:r>
      <w:r>
        <w:rPr>
          <w:color w:val="auto"/>
          <w:sz w:val="20"/>
          <w:szCs w:val="20"/>
        </w:rPr>
        <w:t xml:space="preserve"> but is ineligible for the </w:t>
      </w:r>
      <w:r w:rsidR="006C1AB2">
        <w:rPr>
          <w:color w:val="auto"/>
          <w:sz w:val="20"/>
          <w:szCs w:val="20"/>
        </w:rPr>
        <w:t>Hos</w:t>
      </w:r>
      <w:r>
        <w:rPr>
          <w:color w:val="auto"/>
          <w:sz w:val="20"/>
          <w:szCs w:val="20"/>
        </w:rPr>
        <w:t>pital Financial Assistance process, they may choose to apply for a hardship settlement by request</w:t>
      </w:r>
      <w:r w:rsidR="000C6151">
        <w:rPr>
          <w:color w:val="auto"/>
          <w:sz w:val="20"/>
          <w:szCs w:val="20"/>
        </w:rPr>
        <w:t>ing</w:t>
      </w:r>
      <w:r>
        <w:rPr>
          <w:color w:val="auto"/>
          <w:sz w:val="20"/>
          <w:szCs w:val="20"/>
        </w:rPr>
        <w:t xml:space="preserve"> an application by contacting the </w:t>
      </w:r>
      <w:r w:rsidR="006C1AB2">
        <w:rPr>
          <w:color w:val="auto"/>
          <w:sz w:val="20"/>
          <w:szCs w:val="20"/>
        </w:rPr>
        <w:t xml:space="preserve">Hospital </w:t>
      </w:r>
      <w:r w:rsidR="000C6151">
        <w:rPr>
          <w:color w:val="auto"/>
          <w:sz w:val="20"/>
          <w:szCs w:val="20"/>
        </w:rPr>
        <w:t>Financial Counselor D</w:t>
      </w:r>
      <w:r>
        <w:rPr>
          <w:color w:val="auto"/>
          <w:sz w:val="20"/>
          <w:szCs w:val="20"/>
        </w:rPr>
        <w:t xml:space="preserve">epartment at </w:t>
      </w:r>
      <w:r w:rsidR="000C6151" w:rsidRPr="00720199">
        <w:rPr>
          <w:color w:val="auto"/>
          <w:sz w:val="20"/>
          <w:szCs w:val="20"/>
        </w:rPr>
        <w:t>910-</w:t>
      </w:r>
      <w:r w:rsidR="00720199" w:rsidRPr="00720199">
        <w:rPr>
          <w:color w:val="auto"/>
          <w:sz w:val="20"/>
          <w:szCs w:val="20"/>
        </w:rPr>
        <w:t>642-9361</w:t>
      </w:r>
      <w:r>
        <w:rPr>
          <w:color w:val="auto"/>
          <w:sz w:val="20"/>
          <w:szCs w:val="20"/>
        </w:rPr>
        <w:t>. Only completed applications will be reviewed.</w:t>
      </w:r>
    </w:p>
    <w:p w:rsidR="00936A88" w:rsidRDefault="00936A88" w:rsidP="00C44BB0">
      <w:pPr>
        <w:pStyle w:val="Default"/>
        <w:rPr>
          <w:color w:val="auto"/>
          <w:sz w:val="20"/>
          <w:szCs w:val="20"/>
        </w:rPr>
      </w:pPr>
      <w:r>
        <w:rPr>
          <w:color w:val="auto"/>
          <w:sz w:val="20"/>
          <w:szCs w:val="20"/>
        </w:rPr>
        <w:t xml:space="preserve"> </w:t>
      </w:r>
    </w:p>
    <w:p w:rsidR="00C44BB0" w:rsidRDefault="00C44BB0" w:rsidP="00C44BB0">
      <w:pPr>
        <w:pStyle w:val="Default"/>
        <w:rPr>
          <w:color w:val="auto"/>
          <w:sz w:val="20"/>
          <w:szCs w:val="20"/>
        </w:rPr>
      </w:pPr>
      <w:r>
        <w:rPr>
          <w:color w:val="auto"/>
          <w:sz w:val="20"/>
          <w:szCs w:val="20"/>
        </w:rPr>
        <w:t>Completed applications will be reviewed upon receipt and must be submitted within two weeks after requesting an application. Eligibility is based on a patient’s total household financial resources and assets for the prior 90 days reported at the time of evaluation. The patient must fully cooperate with this process to be elig</w:t>
      </w:r>
      <w:r w:rsidR="00936A88">
        <w:rPr>
          <w:color w:val="auto"/>
          <w:sz w:val="20"/>
          <w:szCs w:val="20"/>
        </w:rPr>
        <w:t>ible for a hardship settlement.</w:t>
      </w:r>
    </w:p>
    <w:p w:rsidR="00936A88" w:rsidRDefault="00936A88" w:rsidP="00C44BB0">
      <w:pPr>
        <w:pStyle w:val="Default"/>
        <w:rPr>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7128"/>
        <w:gridCol w:w="1957"/>
      </w:tblGrid>
      <w:tr w:rsidR="00C44BB0">
        <w:trPr>
          <w:trHeight w:val="110"/>
        </w:trPr>
        <w:tc>
          <w:tcPr>
            <w:tcW w:w="9085" w:type="dxa"/>
            <w:gridSpan w:val="2"/>
          </w:tcPr>
          <w:p w:rsidR="000C6151" w:rsidRDefault="000C6151">
            <w:pPr>
              <w:pStyle w:val="Default"/>
              <w:rPr>
                <w:color w:val="auto"/>
                <w:sz w:val="20"/>
                <w:szCs w:val="20"/>
              </w:rPr>
            </w:pPr>
            <w:bookmarkStart w:id="0" w:name="_GoBack"/>
          </w:p>
          <w:p w:rsidR="00936A88" w:rsidRDefault="00C44BB0">
            <w:pPr>
              <w:pStyle w:val="Default"/>
              <w:rPr>
                <w:color w:val="auto"/>
                <w:sz w:val="20"/>
                <w:szCs w:val="20"/>
              </w:rPr>
            </w:pPr>
            <w:r>
              <w:rPr>
                <w:color w:val="auto"/>
                <w:sz w:val="20"/>
                <w:szCs w:val="20"/>
              </w:rPr>
              <w:t>Patients who can demonstrate that their remaining balance is at least 20% of their total household resources and the balance is greater than $</w:t>
            </w:r>
            <w:r w:rsidR="00C31C8E">
              <w:rPr>
                <w:color w:val="auto"/>
                <w:sz w:val="20"/>
                <w:szCs w:val="20"/>
              </w:rPr>
              <w:t>50</w:t>
            </w:r>
            <w:r w:rsidR="00720199">
              <w:rPr>
                <w:color w:val="auto"/>
                <w:sz w:val="20"/>
                <w:szCs w:val="20"/>
              </w:rPr>
              <w:t>0</w:t>
            </w:r>
            <w:r w:rsidR="00936A88">
              <w:rPr>
                <w:color w:val="auto"/>
                <w:sz w:val="20"/>
                <w:szCs w:val="20"/>
              </w:rPr>
              <w:t xml:space="preserve"> </w:t>
            </w:r>
            <w:r>
              <w:rPr>
                <w:color w:val="auto"/>
                <w:sz w:val="20"/>
                <w:szCs w:val="20"/>
              </w:rPr>
              <w:t>will be eligible for a discount outlined in the table below.</w:t>
            </w:r>
          </w:p>
          <w:p w:rsidR="00936A88" w:rsidRDefault="00936A88">
            <w:pPr>
              <w:pStyle w:val="Default"/>
              <w:rPr>
                <w:color w:val="auto"/>
                <w:sz w:val="20"/>
                <w:szCs w:val="20"/>
              </w:rPr>
            </w:pPr>
          </w:p>
          <w:p w:rsidR="00C44BB0" w:rsidRDefault="00C44BB0">
            <w:pPr>
              <w:pStyle w:val="Default"/>
            </w:pPr>
            <w:r>
              <w:t xml:space="preserve">Hardship Settlement Discounts </w:t>
            </w:r>
          </w:p>
          <w:p w:rsidR="00936A88" w:rsidRDefault="00936A88">
            <w:pPr>
              <w:pStyle w:val="Default"/>
            </w:pPr>
          </w:p>
        </w:tc>
      </w:tr>
      <w:bookmarkEnd w:id="0"/>
      <w:tr w:rsidR="00C44BB0" w:rsidTr="00936A88">
        <w:trPr>
          <w:trHeight w:val="110"/>
        </w:trPr>
        <w:tc>
          <w:tcPr>
            <w:tcW w:w="7128" w:type="dxa"/>
            <w:tcBorders>
              <w:bottom w:val="single" w:sz="4" w:space="0" w:color="auto"/>
            </w:tcBorders>
          </w:tcPr>
          <w:p w:rsidR="00C44BB0" w:rsidRDefault="00C44BB0">
            <w:pPr>
              <w:pStyle w:val="Default"/>
              <w:rPr>
                <w:rFonts w:ascii="Calibri" w:hAnsi="Calibri" w:cs="Calibri"/>
                <w:sz w:val="22"/>
                <w:szCs w:val="22"/>
              </w:rPr>
            </w:pPr>
            <w:r>
              <w:rPr>
                <w:rFonts w:ascii="Calibri" w:hAnsi="Calibri" w:cs="Calibri"/>
                <w:b/>
                <w:bCs/>
                <w:sz w:val="22"/>
                <w:szCs w:val="22"/>
              </w:rPr>
              <w:t xml:space="preserve">Balance Due </w:t>
            </w:r>
          </w:p>
        </w:tc>
        <w:tc>
          <w:tcPr>
            <w:tcW w:w="1957" w:type="dxa"/>
            <w:tcBorders>
              <w:bottom w:val="single" w:sz="4" w:space="0" w:color="auto"/>
            </w:tcBorders>
          </w:tcPr>
          <w:p w:rsidR="00C44BB0" w:rsidRDefault="00C44BB0" w:rsidP="00936A88">
            <w:pPr>
              <w:pStyle w:val="Default"/>
              <w:jc w:val="center"/>
              <w:rPr>
                <w:rFonts w:ascii="Calibri" w:hAnsi="Calibri" w:cs="Calibri"/>
                <w:sz w:val="22"/>
                <w:szCs w:val="22"/>
              </w:rPr>
            </w:pPr>
            <w:r>
              <w:rPr>
                <w:rFonts w:ascii="Calibri" w:hAnsi="Calibri" w:cs="Calibri"/>
                <w:b/>
                <w:bCs/>
                <w:sz w:val="22"/>
                <w:szCs w:val="22"/>
              </w:rPr>
              <w:t>Discount</w:t>
            </w:r>
          </w:p>
        </w:tc>
      </w:tr>
      <w:tr w:rsidR="00C44BB0" w:rsidTr="00936A88">
        <w:trPr>
          <w:trHeight w:val="243"/>
        </w:trPr>
        <w:tc>
          <w:tcPr>
            <w:tcW w:w="7128" w:type="dxa"/>
            <w:tcBorders>
              <w:top w:val="single" w:sz="4" w:space="0" w:color="auto"/>
              <w:left w:val="single" w:sz="4" w:space="0" w:color="auto"/>
              <w:bottom w:val="single" w:sz="4" w:space="0" w:color="auto"/>
              <w:right w:val="single" w:sz="4" w:space="0" w:color="auto"/>
            </w:tcBorders>
          </w:tcPr>
          <w:p w:rsidR="00C44BB0" w:rsidRDefault="00C44BB0">
            <w:pPr>
              <w:pStyle w:val="Default"/>
              <w:rPr>
                <w:sz w:val="22"/>
                <w:szCs w:val="22"/>
              </w:rPr>
            </w:pPr>
            <w:r>
              <w:rPr>
                <w:rFonts w:ascii="Calibri" w:hAnsi="Calibri" w:cs="Calibri"/>
                <w:sz w:val="22"/>
                <w:szCs w:val="22"/>
              </w:rPr>
              <w:t xml:space="preserve">Balance Due is equal to or greater than 50% of the patient's total Household Financial Resources </w:t>
            </w:r>
          </w:p>
        </w:tc>
        <w:tc>
          <w:tcPr>
            <w:tcW w:w="1957" w:type="dxa"/>
            <w:tcBorders>
              <w:top w:val="single" w:sz="4" w:space="0" w:color="auto"/>
              <w:left w:val="single" w:sz="4" w:space="0" w:color="auto"/>
              <w:bottom w:val="single" w:sz="4" w:space="0" w:color="auto"/>
              <w:right w:val="single" w:sz="4" w:space="0" w:color="auto"/>
            </w:tcBorders>
          </w:tcPr>
          <w:p w:rsidR="00C44BB0" w:rsidRDefault="00C44BB0" w:rsidP="00936A88">
            <w:pPr>
              <w:pStyle w:val="Default"/>
              <w:jc w:val="center"/>
              <w:rPr>
                <w:rFonts w:ascii="Calibri" w:hAnsi="Calibri" w:cs="Calibri"/>
                <w:sz w:val="22"/>
                <w:szCs w:val="22"/>
              </w:rPr>
            </w:pPr>
            <w:r>
              <w:rPr>
                <w:rFonts w:ascii="Calibri" w:hAnsi="Calibri" w:cs="Calibri"/>
                <w:sz w:val="22"/>
                <w:szCs w:val="22"/>
              </w:rPr>
              <w:t>75%</w:t>
            </w:r>
          </w:p>
        </w:tc>
      </w:tr>
      <w:tr w:rsidR="00C44BB0" w:rsidTr="00936A88">
        <w:trPr>
          <w:trHeight w:val="244"/>
        </w:trPr>
        <w:tc>
          <w:tcPr>
            <w:tcW w:w="7128" w:type="dxa"/>
            <w:tcBorders>
              <w:top w:val="single" w:sz="4" w:space="0" w:color="auto"/>
              <w:left w:val="single" w:sz="4" w:space="0" w:color="auto"/>
              <w:bottom w:val="single" w:sz="4" w:space="0" w:color="auto"/>
              <w:right w:val="single" w:sz="4" w:space="0" w:color="auto"/>
            </w:tcBorders>
          </w:tcPr>
          <w:p w:rsidR="00C44BB0" w:rsidRDefault="00C44BB0">
            <w:pPr>
              <w:pStyle w:val="Default"/>
              <w:rPr>
                <w:sz w:val="22"/>
                <w:szCs w:val="22"/>
              </w:rPr>
            </w:pPr>
            <w:r>
              <w:rPr>
                <w:rFonts w:ascii="Calibri" w:hAnsi="Calibri" w:cs="Calibri"/>
                <w:sz w:val="22"/>
                <w:szCs w:val="22"/>
              </w:rPr>
              <w:t xml:space="preserve">Balance Due is equal to or greater than 35% and less than 50% of the patient's total Household Financial Resources </w:t>
            </w:r>
          </w:p>
        </w:tc>
        <w:tc>
          <w:tcPr>
            <w:tcW w:w="1957" w:type="dxa"/>
            <w:tcBorders>
              <w:top w:val="single" w:sz="4" w:space="0" w:color="auto"/>
              <w:left w:val="single" w:sz="4" w:space="0" w:color="auto"/>
              <w:bottom w:val="single" w:sz="4" w:space="0" w:color="auto"/>
              <w:right w:val="single" w:sz="4" w:space="0" w:color="auto"/>
            </w:tcBorders>
          </w:tcPr>
          <w:p w:rsidR="00C44BB0" w:rsidRDefault="00C44BB0" w:rsidP="00936A88">
            <w:pPr>
              <w:pStyle w:val="Default"/>
              <w:jc w:val="center"/>
              <w:rPr>
                <w:rFonts w:ascii="Calibri" w:hAnsi="Calibri" w:cs="Calibri"/>
                <w:sz w:val="22"/>
                <w:szCs w:val="22"/>
              </w:rPr>
            </w:pPr>
            <w:r>
              <w:rPr>
                <w:rFonts w:ascii="Calibri" w:hAnsi="Calibri" w:cs="Calibri"/>
                <w:sz w:val="22"/>
                <w:szCs w:val="22"/>
              </w:rPr>
              <w:t>50%</w:t>
            </w:r>
          </w:p>
        </w:tc>
      </w:tr>
      <w:tr w:rsidR="00C44BB0" w:rsidTr="00936A88">
        <w:trPr>
          <w:trHeight w:val="244"/>
        </w:trPr>
        <w:tc>
          <w:tcPr>
            <w:tcW w:w="7128" w:type="dxa"/>
            <w:tcBorders>
              <w:top w:val="single" w:sz="4" w:space="0" w:color="auto"/>
              <w:left w:val="single" w:sz="4" w:space="0" w:color="auto"/>
              <w:bottom w:val="single" w:sz="4" w:space="0" w:color="auto"/>
              <w:right w:val="single" w:sz="4" w:space="0" w:color="auto"/>
            </w:tcBorders>
          </w:tcPr>
          <w:p w:rsidR="00C44BB0" w:rsidRDefault="00C44BB0">
            <w:pPr>
              <w:pStyle w:val="Default"/>
              <w:rPr>
                <w:sz w:val="22"/>
                <w:szCs w:val="22"/>
              </w:rPr>
            </w:pPr>
            <w:r>
              <w:rPr>
                <w:rFonts w:ascii="Calibri" w:hAnsi="Calibri" w:cs="Calibri"/>
                <w:sz w:val="22"/>
                <w:szCs w:val="22"/>
              </w:rPr>
              <w:t xml:space="preserve">Balance Due is equal to or greater than 20% and less than 35% of the patient's total Household Financial Resources </w:t>
            </w:r>
          </w:p>
        </w:tc>
        <w:tc>
          <w:tcPr>
            <w:tcW w:w="1957" w:type="dxa"/>
            <w:tcBorders>
              <w:top w:val="single" w:sz="4" w:space="0" w:color="auto"/>
              <w:left w:val="single" w:sz="4" w:space="0" w:color="auto"/>
              <w:bottom w:val="single" w:sz="4" w:space="0" w:color="auto"/>
              <w:right w:val="single" w:sz="4" w:space="0" w:color="auto"/>
            </w:tcBorders>
          </w:tcPr>
          <w:p w:rsidR="00C44BB0" w:rsidRDefault="00C44BB0" w:rsidP="00936A88">
            <w:pPr>
              <w:pStyle w:val="Default"/>
              <w:jc w:val="center"/>
              <w:rPr>
                <w:rFonts w:ascii="Calibri" w:hAnsi="Calibri" w:cs="Calibri"/>
                <w:sz w:val="22"/>
                <w:szCs w:val="22"/>
              </w:rPr>
            </w:pPr>
            <w:r>
              <w:rPr>
                <w:rFonts w:ascii="Calibri" w:hAnsi="Calibri" w:cs="Calibri"/>
                <w:sz w:val="22"/>
                <w:szCs w:val="22"/>
              </w:rPr>
              <w:t>25%</w:t>
            </w:r>
          </w:p>
        </w:tc>
      </w:tr>
    </w:tbl>
    <w:p w:rsidR="00660FF4" w:rsidRDefault="00660FF4" w:rsidP="00C44BB0"/>
    <w:p w:rsidR="003D0AD0" w:rsidRDefault="003D0AD0" w:rsidP="003D0AD0">
      <w:pPr>
        <w:pStyle w:val="Default"/>
        <w:rPr>
          <w:sz w:val="20"/>
          <w:szCs w:val="20"/>
        </w:rPr>
      </w:pPr>
      <w:r>
        <w:rPr>
          <w:sz w:val="20"/>
          <w:szCs w:val="20"/>
        </w:rPr>
        <w:t>Example: If a patient’s outstanding obligation is $20,000 and the patient’s total household financial resources is $50,000, they would qualify for a 50% discount and the balance due would be $10,000.</w:t>
      </w:r>
    </w:p>
    <w:p w:rsidR="003D0AD0" w:rsidRDefault="003D0AD0" w:rsidP="003D0AD0">
      <w:pPr>
        <w:pStyle w:val="Default"/>
        <w:rPr>
          <w:sz w:val="20"/>
          <w:szCs w:val="20"/>
        </w:rPr>
      </w:pPr>
    </w:p>
    <w:p w:rsidR="003D0AD0" w:rsidRDefault="003D0AD0" w:rsidP="003D0AD0">
      <w:pPr>
        <w:pStyle w:val="Default"/>
        <w:rPr>
          <w:sz w:val="20"/>
          <w:szCs w:val="20"/>
        </w:rPr>
      </w:pPr>
      <w:r w:rsidRPr="000C6151">
        <w:rPr>
          <w:sz w:val="20"/>
          <w:szCs w:val="20"/>
        </w:rPr>
        <w:t>Payment plans may be required to assist in payment of balances after financial assistance discounts.</w:t>
      </w:r>
    </w:p>
    <w:p w:rsidR="003D0AD0" w:rsidRDefault="003D0AD0" w:rsidP="003D0AD0">
      <w:pPr>
        <w:pStyle w:val="Default"/>
        <w:rPr>
          <w:sz w:val="20"/>
          <w:szCs w:val="20"/>
        </w:rPr>
      </w:pPr>
      <w:r>
        <w:rPr>
          <w:sz w:val="20"/>
          <w:szCs w:val="20"/>
        </w:rPr>
        <w:t xml:space="preserve"> </w:t>
      </w:r>
    </w:p>
    <w:p w:rsidR="003D0AD0" w:rsidRPr="003D0AD0" w:rsidRDefault="003D0AD0" w:rsidP="003D0AD0">
      <w:pPr>
        <w:pStyle w:val="Default"/>
        <w:rPr>
          <w:sz w:val="20"/>
          <w:szCs w:val="20"/>
        </w:rPr>
      </w:pPr>
      <w:r w:rsidRPr="003D0AD0">
        <w:rPr>
          <w:i/>
          <w:sz w:val="20"/>
          <w:szCs w:val="20"/>
        </w:rPr>
        <w:t>C</w:t>
      </w:r>
      <w:r w:rsidR="000C6151">
        <w:rPr>
          <w:i/>
          <w:sz w:val="20"/>
          <w:szCs w:val="20"/>
        </w:rPr>
        <w:t>R</w:t>
      </w:r>
      <w:r w:rsidRPr="003D0AD0">
        <w:rPr>
          <w:i/>
          <w:sz w:val="20"/>
          <w:szCs w:val="20"/>
        </w:rPr>
        <w:t>HS reserves the right to reverse hardship settlements provided by this policy if the information provided by the patient during the information gathering process is determined to be false or if the Hospital obtains proof that the patient has received compensation for services from other sources.</w:t>
      </w:r>
    </w:p>
    <w:p w:rsidR="003D0AD0" w:rsidRPr="003D0AD0" w:rsidRDefault="003D0AD0" w:rsidP="003D0AD0">
      <w:pPr>
        <w:pStyle w:val="Default"/>
        <w:rPr>
          <w:sz w:val="20"/>
          <w:szCs w:val="20"/>
        </w:rPr>
      </w:pPr>
    </w:p>
    <w:p w:rsidR="003D0AD0" w:rsidRPr="003D0AD0" w:rsidRDefault="003D0AD0" w:rsidP="003D0AD0">
      <w:pPr>
        <w:pStyle w:val="Default"/>
        <w:rPr>
          <w:sz w:val="20"/>
          <w:szCs w:val="20"/>
        </w:rPr>
      </w:pPr>
    </w:p>
    <w:sectPr w:rsidR="003D0AD0" w:rsidRPr="003D0AD0" w:rsidSect="0024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4C8B"/>
    <w:multiLevelType w:val="hybridMultilevel"/>
    <w:tmpl w:val="9FFC06E0"/>
    <w:lvl w:ilvl="0" w:tplc="2902AE4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C44BB0"/>
    <w:rsid w:val="0006652E"/>
    <w:rsid w:val="00082510"/>
    <w:rsid w:val="000C6151"/>
    <w:rsid w:val="001A443D"/>
    <w:rsid w:val="00227C40"/>
    <w:rsid w:val="00241410"/>
    <w:rsid w:val="003D0AD0"/>
    <w:rsid w:val="00596208"/>
    <w:rsid w:val="00660FF4"/>
    <w:rsid w:val="006A7081"/>
    <w:rsid w:val="006C1AB2"/>
    <w:rsid w:val="006F0C09"/>
    <w:rsid w:val="00720199"/>
    <w:rsid w:val="00761A27"/>
    <w:rsid w:val="00901CFB"/>
    <w:rsid w:val="00936A88"/>
    <w:rsid w:val="00C31C8E"/>
    <w:rsid w:val="00C44BB0"/>
    <w:rsid w:val="00CC2763"/>
    <w:rsid w:val="00F901AE"/>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B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6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B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6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kgor02</cp:lastModifiedBy>
  <cp:revision>8</cp:revision>
  <cp:lastPrinted>2014-06-17T12:17:00Z</cp:lastPrinted>
  <dcterms:created xsi:type="dcterms:W3CDTF">2014-03-05T13:50:00Z</dcterms:created>
  <dcterms:modified xsi:type="dcterms:W3CDTF">2017-08-14T19:45:00Z</dcterms:modified>
</cp:coreProperties>
</file>